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C5" w:rsidRPr="000C3B14" w:rsidRDefault="007006C5" w:rsidP="000D2929">
      <w:pPr>
        <w:rPr>
          <w:rFonts w:ascii="Times New Roman" w:hAnsi="Times New Roman" w:cs="Times New Roman"/>
          <w:b/>
          <w:color w:val="0070C0"/>
          <w:sz w:val="32"/>
          <w:szCs w:val="26"/>
        </w:rPr>
      </w:pPr>
      <w:r w:rsidRPr="000C3B14">
        <w:rPr>
          <w:rFonts w:ascii="Times New Roman" w:hAnsi="Times New Roman" w:cs="Times New Roman"/>
          <w:b/>
          <w:color w:val="0070C0"/>
          <w:sz w:val="32"/>
          <w:szCs w:val="26"/>
        </w:rPr>
        <w:t>Развитие ип</w:t>
      </w:r>
      <w:r w:rsidR="00AB2392" w:rsidRPr="000C3B14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отечного жилищного кредитования </w:t>
      </w:r>
      <w:bookmarkStart w:id="0" w:name="_GoBack"/>
      <w:bookmarkEnd w:id="0"/>
      <w:r w:rsidR="002C7745" w:rsidRPr="000C3B14">
        <w:rPr>
          <w:rFonts w:ascii="Times New Roman" w:hAnsi="Times New Roman" w:cs="Times New Roman"/>
          <w:b/>
          <w:color w:val="0070C0"/>
          <w:sz w:val="32"/>
          <w:szCs w:val="26"/>
        </w:rPr>
        <w:br/>
      </w:r>
      <w:r w:rsidR="00AB2392" w:rsidRPr="000C3B14">
        <w:rPr>
          <w:rFonts w:ascii="Times New Roman" w:hAnsi="Times New Roman" w:cs="Times New Roman"/>
          <w:b/>
          <w:color w:val="0070C0"/>
          <w:sz w:val="32"/>
          <w:szCs w:val="26"/>
        </w:rPr>
        <w:t>в Санкт-Петербурге</w:t>
      </w:r>
      <w:r w:rsidR="00683F85" w:rsidRPr="000C3B14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 </w:t>
      </w:r>
      <w:r w:rsidRPr="000C3B14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в </w:t>
      </w:r>
      <w:r w:rsidR="00F10C08" w:rsidRPr="000C3B14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январе-мае </w:t>
      </w:r>
      <w:r w:rsidRPr="000C3B14">
        <w:rPr>
          <w:rFonts w:ascii="Times New Roman" w:hAnsi="Times New Roman" w:cs="Times New Roman"/>
          <w:b/>
          <w:color w:val="0070C0"/>
          <w:sz w:val="32"/>
          <w:szCs w:val="26"/>
        </w:rPr>
        <w:t>20</w:t>
      </w:r>
      <w:r w:rsidR="00F10C08" w:rsidRPr="000C3B14">
        <w:rPr>
          <w:rFonts w:ascii="Times New Roman" w:hAnsi="Times New Roman" w:cs="Times New Roman"/>
          <w:b/>
          <w:color w:val="0070C0"/>
          <w:sz w:val="32"/>
          <w:szCs w:val="26"/>
        </w:rPr>
        <w:t>20</w:t>
      </w:r>
      <w:r w:rsidRPr="000C3B14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 год</w:t>
      </w:r>
      <w:r w:rsidR="00F10C08" w:rsidRPr="000C3B14">
        <w:rPr>
          <w:rFonts w:ascii="Times New Roman" w:hAnsi="Times New Roman" w:cs="Times New Roman"/>
          <w:b/>
          <w:color w:val="0070C0"/>
          <w:sz w:val="32"/>
          <w:szCs w:val="26"/>
        </w:rPr>
        <w:t>а</w:t>
      </w:r>
    </w:p>
    <w:p w:rsidR="001D7CA2" w:rsidRDefault="00241955" w:rsidP="00D0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C033DB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727A80">
        <w:rPr>
          <w:rFonts w:ascii="Times New Roman" w:hAnsi="Times New Roman" w:cs="Times New Roman"/>
          <w:sz w:val="24"/>
          <w:szCs w:val="24"/>
        </w:rPr>
        <w:t>на 01.0</w:t>
      </w:r>
      <w:r w:rsidR="0025194A">
        <w:rPr>
          <w:rFonts w:ascii="Times New Roman" w:hAnsi="Times New Roman" w:cs="Times New Roman"/>
          <w:sz w:val="24"/>
          <w:szCs w:val="24"/>
        </w:rPr>
        <w:t>6</w:t>
      </w:r>
      <w:r w:rsidR="00727A80">
        <w:rPr>
          <w:rFonts w:ascii="Times New Roman" w:hAnsi="Times New Roman" w:cs="Times New Roman"/>
          <w:sz w:val="24"/>
          <w:szCs w:val="24"/>
        </w:rPr>
        <w:t>.2020 ч</w:t>
      </w:r>
      <w:r w:rsidR="00692563">
        <w:rPr>
          <w:rFonts w:ascii="Times New Roman" w:hAnsi="Times New Roman" w:cs="Times New Roman"/>
          <w:sz w:val="24"/>
          <w:szCs w:val="24"/>
        </w:rPr>
        <w:t>исло ипотечных жилищных кредитов (ИЖК),</w:t>
      </w:r>
      <w:r w:rsidR="00727A80" w:rsidRPr="00727A80">
        <w:rPr>
          <w:rFonts w:ascii="Times New Roman" w:hAnsi="Times New Roman" w:cs="Times New Roman"/>
          <w:sz w:val="24"/>
          <w:szCs w:val="24"/>
        </w:rPr>
        <w:t xml:space="preserve"> </w:t>
      </w:r>
      <w:r w:rsidR="00727A80">
        <w:rPr>
          <w:rFonts w:ascii="Times New Roman" w:hAnsi="Times New Roman" w:cs="Times New Roman"/>
          <w:sz w:val="24"/>
          <w:szCs w:val="24"/>
        </w:rPr>
        <w:t xml:space="preserve">предоставленным физическим лицам, зарегистрированным в Санкт-Петербурге, </w:t>
      </w:r>
      <w:r w:rsidR="003300C8">
        <w:rPr>
          <w:rFonts w:ascii="Times New Roman" w:hAnsi="Times New Roman" w:cs="Times New Roman"/>
          <w:sz w:val="24"/>
          <w:szCs w:val="24"/>
        </w:rPr>
        <w:br/>
      </w:r>
      <w:r w:rsidR="005643D9">
        <w:rPr>
          <w:rFonts w:ascii="Times New Roman" w:hAnsi="Times New Roman" w:cs="Times New Roman"/>
          <w:sz w:val="24"/>
          <w:szCs w:val="24"/>
        </w:rPr>
        <w:t xml:space="preserve">с начала 2020 года </w:t>
      </w:r>
      <w:r w:rsidR="00727A8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5194A">
        <w:rPr>
          <w:rFonts w:ascii="Times New Roman" w:hAnsi="Times New Roman" w:cs="Times New Roman"/>
          <w:sz w:val="24"/>
          <w:szCs w:val="24"/>
        </w:rPr>
        <w:t>24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  <w:r w:rsidR="0025194A">
        <w:rPr>
          <w:rFonts w:ascii="Times New Roman" w:hAnsi="Times New Roman" w:cs="Times New Roman"/>
          <w:sz w:val="24"/>
          <w:szCs w:val="24"/>
        </w:rPr>
        <w:t>912</w:t>
      </w:r>
      <w:r w:rsidR="00727A80">
        <w:rPr>
          <w:rFonts w:ascii="Times New Roman" w:hAnsi="Times New Roman" w:cs="Times New Roman"/>
          <w:sz w:val="24"/>
          <w:szCs w:val="24"/>
        </w:rPr>
        <w:t xml:space="preserve"> </w:t>
      </w:r>
      <w:r w:rsidR="00D77E48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727A80">
        <w:rPr>
          <w:rFonts w:ascii="Times New Roman" w:hAnsi="Times New Roman" w:cs="Times New Roman"/>
          <w:sz w:val="24"/>
          <w:szCs w:val="24"/>
        </w:rPr>
        <w:t xml:space="preserve">с объемом </w:t>
      </w:r>
      <w:r w:rsidR="00D77E48">
        <w:rPr>
          <w:rFonts w:ascii="Times New Roman" w:hAnsi="Times New Roman" w:cs="Times New Roman"/>
          <w:sz w:val="24"/>
          <w:szCs w:val="24"/>
        </w:rPr>
        <w:t>выдачи</w:t>
      </w:r>
      <w:r w:rsidR="00727A80">
        <w:rPr>
          <w:rFonts w:ascii="Times New Roman" w:hAnsi="Times New Roman" w:cs="Times New Roman"/>
          <w:sz w:val="24"/>
          <w:szCs w:val="24"/>
        </w:rPr>
        <w:t xml:space="preserve"> </w:t>
      </w:r>
      <w:r w:rsidR="0025194A">
        <w:rPr>
          <w:rFonts w:ascii="Times New Roman" w:hAnsi="Times New Roman" w:cs="Times New Roman"/>
          <w:sz w:val="24"/>
          <w:szCs w:val="24"/>
        </w:rPr>
        <w:t>80</w:t>
      </w:r>
      <w:r w:rsidR="0021288E">
        <w:rPr>
          <w:rFonts w:ascii="Times New Roman" w:hAnsi="Times New Roman" w:cs="Times New Roman"/>
          <w:sz w:val="24"/>
          <w:szCs w:val="24"/>
        </w:rPr>
        <w:t xml:space="preserve"> </w:t>
      </w:r>
      <w:r w:rsidR="0025194A">
        <w:rPr>
          <w:rFonts w:ascii="Times New Roman" w:hAnsi="Times New Roman" w:cs="Times New Roman"/>
          <w:sz w:val="24"/>
          <w:szCs w:val="24"/>
        </w:rPr>
        <w:t>565</w:t>
      </w:r>
      <w:r w:rsidR="00727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A8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3300C8">
        <w:rPr>
          <w:rFonts w:ascii="Times New Roman" w:hAnsi="Times New Roman" w:cs="Times New Roman"/>
          <w:sz w:val="24"/>
          <w:szCs w:val="24"/>
        </w:rPr>
        <w:t> </w:t>
      </w:r>
      <w:r w:rsidR="00727A80">
        <w:rPr>
          <w:rFonts w:ascii="Times New Roman" w:hAnsi="Times New Roman" w:cs="Times New Roman"/>
          <w:sz w:val="24"/>
          <w:szCs w:val="24"/>
        </w:rPr>
        <w:t>руб.</w:t>
      </w:r>
      <w:r w:rsidR="00BB2AEA">
        <w:rPr>
          <w:rFonts w:ascii="Times New Roman" w:hAnsi="Times New Roman" w:cs="Times New Roman"/>
          <w:sz w:val="24"/>
          <w:szCs w:val="24"/>
        </w:rPr>
        <w:t xml:space="preserve"> </w:t>
      </w:r>
      <w:r w:rsidR="00565CD6">
        <w:rPr>
          <w:rFonts w:ascii="Times New Roman" w:hAnsi="Times New Roman" w:cs="Times New Roman"/>
          <w:sz w:val="24"/>
          <w:szCs w:val="24"/>
        </w:rPr>
        <w:t>(</w:t>
      </w:r>
      <w:r w:rsidR="00727A80">
        <w:rPr>
          <w:rFonts w:ascii="Times New Roman" w:hAnsi="Times New Roman" w:cs="Times New Roman"/>
          <w:sz w:val="24"/>
          <w:szCs w:val="24"/>
        </w:rPr>
        <w:t xml:space="preserve">размер кредита </w:t>
      </w:r>
      <w:r w:rsidR="00565CD6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DE3579">
        <w:rPr>
          <w:rFonts w:ascii="Times New Roman" w:hAnsi="Times New Roman" w:cs="Times New Roman"/>
          <w:sz w:val="24"/>
          <w:szCs w:val="24"/>
        </w:rPr>
        <w:t xml:space="preserve">— </w:t>
      </w:r>
      <w:r w:rsidR="00727A80">
        <w:rPr>
          <w:rFonts w:ascii="Times New Roman" w:hAnsi="Times New Roman" w:cs="Times New Roman"/>
          <w:sz w:val="24"/>
          <w:szCs w:val="24"/>
        </w:rPr>
        <w:t>3,</w:t>
      </w:r>
      <w:r w:rsidR="0025194A">
        <w:rPr>
          <w:rFonts w:ascii="Times New Roman" w:hAnsi="Times New Roman" w:cs="Times New Roman"/>
          <w:sz w:val="24"/>
          <w:szCs w:val="24"/>
        </w:rPr>
        <w:t>2</w:t>
      </w:r>
      <w:r w:rsidR="004975C3">
        <w:rPr>
          <w:rFonts w:ascii="Times New Roman" w:hAnsi="Times New Roman" w:cs="Times New Roman"/>
          <w:sz w:val="24"/>
          <w:szCs w:val="24"/>
        </w:rPr>
        <w:t>34</w:t>
      </w:r>
      <w:r w:rsidR="00727A80">
        <w:rPr>
          <w:rFonts w:ascii="Times New Roman" w:hAnsi="Times New Roman" w:cs="Times New Roman"/>
          <w:sz w:val="24"/>
          <w:szCs w:val="24"/>
        </w:rPr>
        <w:t xml:space="preserve"> млн руб.). </w:t>
      </w:r>
    </w:p>
    <w:p w:rsidR="00540F5C" w:rsidRDefault="00D1636C" w:rsidP="00D0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новой льготной ипотеке с государственной поддержкой к началу лета 2020 года средняя процентная ставка по ИЖК в Санкт-Петербурге </w:t>
      </w:r>
      <w:r w:rsidR="003F52C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низилась до 7,4%. </w:t>
      </w:r>
      <w:r w:rsidR="005F5255">
        <w:rPr>
          <w:rFonts w:ascii="Times New Roman" w:hAnsi="Times New Roman" w:cs="Times New Roman"/>
          <w:sz w:val="24"/>
          <w:szCs w:val="24"/>
        </w:rPr>
        <w:t>С</w:t>
      </w:r>
      <w:r w:rsidR="00962F0A" w:rsidRPr="00B131F3">
        <w:rPr>
          <w:rFonts w:ascii="Times New Roman" w:hAnsi="Times New Roman" w:cs="Times New Roman"/>
          <w:sz w:val="24"/>
          <w:szCs w:val="24"/>
        </w:rPr>
        <w:t>редн</w:t>
      </w:r>
      <w:r w:rsidR="00FE487D">
        <w:rPr>
          <w:rFonts w:ascii="Times New Roman" w:hAnsi="Times New Roman" w:cs="Times New Roman"/>
          <w:sz w:val="24"/>
          <w:szCs w:val="24"/>
        </w:rPr>
        <w:t>ий</w:t>
      </w:r>
      <w:r w:rsidR="00962F0A" w:rsidRPr="00B131F3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 xml:space="preserve">кредитования </w:t>
      </w:r>
      <w:r w:rsidR="005F5255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E487D">
        <w:rPr>
          <w:rFonts w:ascii="Times New Roman" w:hAnsi="Times New Roman" w:cs="Times New Roman"/>
          <w:sz w:val="24"/>
          <w:szCs w:val="24"/>
        </w:rPr>
        <w:t>составляет</w:t>
      </w:r>
      <w:r w:rsidR="00801C93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962F0A" w:rsidRPr="00B131F3">
        <w:rPr>
          <w:rFonts w:ascii="Times New Roman" w:hAnsi="Times New Roman" w:cs="Times New Roman"/>
          <w:sz w:val="24"/>
          <w:szCs w:val="24"/>
        </w:rPr>
        <w:t xml:space="preserve"> 18</w:t>
      </w:r>
      <w:r w:rsidR="00FE487D">
        <w:rPr>
          <w:rFonts w:ascii="Times New Roman" w:hAnsi="Times New Roman" w:cs="Times New Roman"/>
          <w:sz w:val="24"/>
          <w:szCs w:val="24"/>
        </w:rPr>
        <w:t>,5</w:t>
      </w:r>
      <w:r w:rsidR="00962F0A" w:rsidRPr="00B131F3">
        <w:rPr>
          <w:rFonts w:ascii="Times New Roman" w:hAnsi="Times New Roman" w:cs="Times New Roman"/>
          <w:sz w:val="24"/>
          <w:szCs w:val="24"/>
        </w:rPr>
        <w:t xml:space="preserve"> лет.</w:t>
      </w:r>
      <w:r w:rsidR="0021288E">
        <w:rPr>
          <w:rFonts w:ascii="Times New Roman" w:hAnsi="Times New Roman" w:cs="Times New Roman"/>
          <w:sz w:val="24"/>
          <w:szCs w:val="24"/>
        </w:rPr>
        <w:t xml:space="preserve"> </w:t>
      </w:r>
      <w:r w:rsidR="00801C93">
        <w:rPr>
          <w:rFonts w:ascii="Times New Roman" w:hAnsi="Times New Roman" w:cs="Times New Roman"/>
          <w:sz w:val="24"/>
          <w:szCs w:val="24"/>
        </w:rPr>
        <w:t>Таким</w:t>
      </w:r>
      <w:r w:rsidR="00692563" w:rsidRPr="00B131F3">
        <w:rPr>
          <w:rFonts w:ascii="Times New Roman" w:hAnsi="Times New Roman" w:cs="Times New Roman"/>
          <w:sz w:val="24"/>
          <w:szCs w:val="24"/>
        </w:rPr>
        <w:t xml:space="preserve"> параметрам </w:t>
      </w:r>
      <w:r w:rsidR="005F5255">
        <w:rPr>
          <w:rFonts w:ascii="Times New Roman" w:hAnsi="Times New Roman" w:cs="Times New Roman"/>
          <w:sz w:val="24"/>
          <w:szCs w:val="24"/>
        </w:rPr>
        <w:t xml:space="preserve">ИЖК </w:t>
      </w:r>
      <w:r w:rsidR="00B56C88">
        <w:rPr>
          <w:rFonts w:ascii="Times New Roman" w:hAnsi="Times New Roman" w:cs="Times New Roman"/>
          <w:sz w:val="24"/>
          <w:szCs w:val="24"/>
        </w:rPr>
        <w:t>с</w:t>
      </w:r>
      <w:r w:rsidR="00692563" w:rsidRPr="00B131F3">
        <w:rPr>
          <w:rFonts w:ascii="Times New Roman" w:hAnsi="Times New Roman" w:cs="Times New Roman"/>
          <w:sz w:val="24"/>
          <w:szCs w:val="24"/>
        </w:rPr>
        <w:t xml:space="preserve">оответствует </w:t>
      </w:r>
      <w:r w:rsidR="00C34095">
        <w:rPr>
          <w:rFonts w:ascii="Times New Roman" w:hAnsi="Times New Roman" w:cs="Times New Roman"/>
          <w:sz w:val="24"/>
          <w:szCs w:val="24"/>
        </w:rPr>
        <w:t>аннуитет с</w:t>
      </w:r>
      <w:r w:rsidR="00FB1933">
        <w:rPr>
          <w:rFonts w:ascii="Times New Roman" w:hAnsi="Times New Roman" w:cs="Times New Roman"/>
          <w:sz w:val="24"/>
          <w:szCs w:val="24"/>
        </w:rPr>
        <w:t xml:space="preserve"> </w:t>
      </w:r>
      <w:r w:rsidR="005643D9">
        <w:rPr>
          <w:rFonts w:ascii="Times New Roman" w:hAnsi="Times New Roman" w:cs="Times New Roman"/>
          <w:sz w:val="24"/>
          <w:szCs w:val="24"/>
        </w:rPr>
        <w:t xml:space="preserve">ежемесячным </w:t>
      </w:r>
      <w:r w:rsidR="00692563" w:rsidRPr="00B131F3">
        <w:rPr>
          <w:rFonts w:ascii="Times New Roman" w:hAnsi="Times New Roman" w:cs="Times New Roman"/>
          <w:sz w:val="24"/>
          <w:szCs w:val="24"/>
        </w:rPr>
        <w:t>платеж</w:t>
      </w:r>
      <w:r w:rsidR="00FE487D">
        <w:rPr>
          <w:rFonts w:ascii="Times New Roman" w:hAnsi="Times New Roman" w:cs="Times New Roman"/>
          <w:sz w:val="24"/>
          <w:szCs w:val="24"/>
        </w:rPr>
        <w:t>ом</w:t>
      </w:r>
      <w:r w:rsidR="00727A80" w:rsidRPr="00B131F3">
        <w:rPr>
          <w:rFonts w:ascii="Times New Roman" w:hAnsi="Times New Roman" w:cs="Times New Roman"/>
          <w:sz w:val="24"/>
          <w:szCs w:val="24"/>
        </w:rPr>
        <w:t xml:space="preserve"> </w:t>
      </w:r>
      <w:r w:rsidR="002D7FF4">
        <w:rPr>
          <w:rFonts w:ascii="Times New Roman" w:hAnsi="Times New Roman" w:cs="Times New Roman"/>
          <w:sz w:val="24"/>
          <w:szCs w:val="24"/>
        </w:rPr>
        <w:t xml:space="preserve">по </w:t>
      </w:r>
      <w:r w:rsidR="00727A80" w:rsidRPr="00B131F3">
        <w:rPr>
          <w:rFonts w:ascii="Times New Roman" w:hAnsi="Times New Roman" w:cs="Times New Roman"/>
          <w:sz w:val="24"/>
          <w:szCs w:val="24"/>
        </w:rPr>
        <w:t>2</w:t>
      </w:r>
      <w:r w:rsidR="00B56C88">
        <w:rPr>
          <w:rFonts w:ascii="Times New Roman" w:hAnsi="Times New Roman" w:cs="Times New Roman"/>
          <w:sz w:val="24"/>
          <w:szCs w:val="24"/>
        </w:rPr>
        <w:t>6</w:t>
      </w:r>
      <w:r w:rsidR="00727A80" w:rsidRPr="00B131F3">
        <w:rPr>
          <w:rFonts w:ascii="Times New Roman" w:hAnsi="Times New Roman" w:cs="Times New Roman"/>
          <w:sz w:val="24"/>
          <w:szCs w:val="24"/>
        </w:rPr>
        <w:t>,</w:t>
      </w:r>
      <w:r w:rsidR="00B56C88">
        <w:rPr>
          <w:rFonts w:ascii="Times New Roman" w:hAnsi="Times New Roman" w:cs="Times New Roman"/>
          <w:sz w:val="24"/>
          <w:szCs w:val="24"/>
        </w:rPr>
        <w:t>7</w:t>
      </w:r>
      <w:r w:rsidR="00625ED9">
        <w:rPr>
          <w:rFonts w:ascii="Times New Roman" w:hAnsi="Times New Roman" w:cs="Times New Roman"/>
          <w:sz w:val="24"/>
          <w:szCs w:val="24"/>
        </w:rPr>
        <w:t>84</w:t>
      </w:r>
      <w:r w:rsidR="00727A80" w:rsidRPr="00B131F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57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F3A" w:rsidRDefault="007E2EFA" w:rsidP="00727A80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380D" wp14:editId="42942E74">
                <wp:simplePos x="0" y="0"/>
                <wp:positionH relativeFrom="column">
                  <wp:posOffset>4808220</wp:posOffset>
                </wp:positionH>
                <wp:positionV relativeFrom="paragraph">
                  <wp:posOffset>922746</wp:posOffset>
                </wp:positionV>
                <wp:extent cx="574675" cy="241300"/>
                <wp:effectExtent l="0" t="0" r="15875" b="2540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5C" w:rsidRPr="003D165C" w:rsidRDefault="003D165C" w:rsidP="00727A80">
                            <w:pPr>
                              <w:rPr>
                                <w:b/>
                                <w:color w:val="7030A0"/>
                                <w:sz w:val="20"/>
                              </w:rPr>
                            </w:pPr>
                            <w:r w:rsidRPr="003D165C">
                              <w:rPr>
                                <w:b/>
                                <w:color w:val="7030A0"/>
                                <w:sz w:val="20"/>
                              </w:rPr>
                              <w:t>01.04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.6pt;margin-top:72.65pt;width:45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" strokecolor="white [3212]">
                <v:textbox>
                  <w:txbxContent>
                    <w:p w:rsidR="003D165C" w:rsidRPr="003D165C" w:rsidRDefault="003D165C" w:rsidP="00727A80">
                      <w:pPr>
                        <w:rPr>
                          <w:b/>
                          <w:color w:val="7030A0"/>
                          <w:sz w:val="20"/>
                        </w:rPr>
                      </w:pPr>
                      <w:r w:rsidRPr="003D165C">
                        <w:rPr>
                          <w:b/>
                          <w:color w:val="7030A0"/>
                          <w:sz w:val="20"/>
                        </w:rPr>
                        <w:t>01.04</w:t>
                      </w:r>
                    </w:p>
                  </w:txbxContent>
                </v:textbox>
              </v:shape>
            </w:pict>
          </mc:Fallback>
        </mc:AlternateContent>
      </w:r>
      <w:r w:rsidR="00A90A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6FAEAE" wp14:editId="488D0D52">
                <wp:simplePos x="0" y="0"/>
                <wp:positionH relativeFrom="column">
                  <wp:posOffset>775970</wp:posOffset>
                </wp:positionH>
                <wp:positionV relativeFrom="paragraph">
                  <wp:posOffset>1038225</wp:posOffset>
                </wp:positionV>
                <wp:extent cx="553085" cy="241300"/>
                <wp:effectExtent l="0" t="0" r="18415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80" w:rsidRPr="004A2603" w:rsidRDefault="00727A80" w:rsidP="00727A80">
                            <w:pPr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4A2603">
                              <w:rPr>
                                <w:b/>
                                <w:color w:val="00B050"/>
                                <w:sz w:val="20"/>
                              </w:rPr>
                              <w:t>01.0</w:t>
                            </w:r>
                            <w:r w:rsidR="004A2603">
                              <w:rPr>
                                <w:b/>
                                <w:color w:val="00B05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1pt;margin-top:81.75pt;width:43.55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" strokecolor="white [3212]">
                <v:textbox>
                  <w:txbxContent>
                    <w:p w:rsidR="00727A80" w:rsidRPr="004A2603" w:rsidRDefault="00727A80" w:rsidP="00727A80">
                      <w:pPr>
                        <w:rPr>
                          <w:b/>
                          <w:color w:val="00B050"/>
                          <w:sz w:val="20"/>
                        </w:rPr>
                      </w:pPr>
                      <w:r w:rsidRPr="004A2603">
                        <w:rPr>
                          <w:b/>
                          <w:color w:val="00B050"/>
                          <w:sz w:val="20"/>
                        </w:rPr>
                        <w:t>01.0</w:t>
                      </w:r>
                      <w:r w:rsidR="004A2603">
                        <w:rPr>
                          <w:b/>
                          <w:color w:val="00B050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43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4E0E6" wp14:editId="7B74B6C9">
                <wp:simplePos x="0" y="0"/>
                <wp:positionH relativeFrom="column">
                  <wp:posOffset>5236845</wp:posOffset>
                </wp:positionH>
                <wp:positionV relativeFrom="paragraph">
                  <wp:posOffset>1265555</wp:posOffset>
                </wp:positionV>
                <wp:extent cx="574675" cy="241300"/>
                <wp:effectExtent l="0" t="0" r="15875" b="254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5C" w:rsidRPr="003D165C" w:rsidRDefault="003D165C" w:rsidP="00727A80">
                            <w:pPr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3D165C">
                              <w:rPr>
                                <w:b/>
                                <w:color w:val="00B0F0"/>
                                <w:sz w:val="20"/>
                              </w:rPr>
                              <w:t>01.0</w:t>
                            </w:r>
                            <w:r>
                              <w:rPr>
                                <w:b/>
                                <w:color w:val="00B0F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35pt;margin-top:99.65pt;width:45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" strokecolor="white [3212]">
                <v:textbox>
                  <w:txbxContent>
                    <w:p w:rsidR="003D165C" w:rsidRPr="003D165C" w:rsidRDefault="003D165C" w:rsidP="00727A80">
                      <w:pPr>
                        <w:rPr>
                          <w:b/>
                          <w:color w:val="00B0F0"/>
                          <w:sz w:val="20"/>
                        </w:rPr>
                      </w:pPr>
                      <w:r w:rsidRPr="003D165C">
                        <w:rPr>
                          <w:b/>
                          <w:color w:val="00B0F0"/>
                          <w:sz w:val="20"/>
                        </w:rPr>
                        <w:t>01.0</w:t>
                      </w:r>
                      <w:r>
                        <w:rPr>
                          <w:b/>
                          <w:color w:val="00B0F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7A80" w:rsidRPr="004A26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6D6852" wp14:editId="1E47EBA1">
            <wp:extent cx="5957454" cy="278476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7977" w:rsidRDefault="004A7977" w:rsidP="0057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A4" w:rsidRDefault="00AE4332" w:rsidP="008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778">
        <w:rPr>
          <w:rFonts w:ascii="Times New Roman" w:hAnsi="Times New Roman" w:cs="Times New Roman"/>
        </w:rPr>
        <w:t>Оценка</w:t>
      </w:r>
      <w:r w:rsidRPr="00AE4332">
        <w:rPr>
          <w:rFonts w:ascii="Times New Roman" w:hAnsi="Times New Roman" w:cs="Times New Roman"/>
          <w:sz w:val="24"/>
          <w:szCs w:val="24"/>
        </w:rPr>
        <w:t xml:space="preserve"> доступности ИЖК для населения может строит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4332">
        <w:rPr>
          <w:rFonts w:ascii="Times New Roman" w:hAnsi="Times New Roman" w:cs="Times New Roman"/>
          <w:sz w:val="24"/>
          <w:szCs w:val="24"/>
        </w:rPr>
        <w:t xml:space="preserve">ся на основе </w:t>
      </w:r>
      <w:r>
        <w:rPr>
          <w:rFonts w:ascii="Times New Roman" w:hAnsi="Times New Roman" w:cs="Times New Roman"/>
          <w:sz w:val="24"/>
          <w:szCs w:val="24"/>
        </w:rPr>
        <w:t>размера</w:t>
      </w:r>
      <w:r w:rsidRPr="00AE4332">
        <w:rPr>
          <w:rFonts w:ascii="Times New Roman" w:hAnsi="Times New Roman" w:cs="Times New Roman"/>
          <w:sz w:val="24"/>
          <w:szCs w:val="24"/>
        </w:rPr>
        <w:t xml:space="preserve"> общей площади жилья, приобретение которой финансируется на среднерыночных условиях</w:t>
      </w:r>
      <w:r w:rsidR="00C50A87">
        <w:rPr>
          <w:rFonts w:ascii="Times New Roman" w:hAnsi="Times New Roman" w:cs="Times New Roman"/>
          <w:sz w:val="24"/>
          <w:szCs w:val="24"/>
        </w:rPr>
        <w:t xml:space="preserve"> </w:t>
      </w:r>
      <w:r w:rsidR="00096665">
        <w:rPr>
          <w:rFonts w:ascii="Times New Roman" w:hAnsi="Times New Roman" w:cs="Times New Roman"/>
          <w:sz w:val="24"/>
          <w:szCs w:val="24"/>
        </w:rPr>
        <w:br/>
      </w:r>
      <w:r w:rsidR="00C50A87">
        <w:rPr>
          <w:rFonts w:ascii="Times New Roman" w:hAnsi="Times New Roman" w:cs="Times New Roman"/>
          <w:sz w:val="24"/>
          <w:szCs w:val="24"/>
        </w:rPr>
        <w:t>(см. таблицу</w:t>
      </w:r>
      <w:r w:rsidR="00864CA4">
        <w:rPr>
          <w:rFonts w:ascii="Times New Roman" w:hAnsi="Times New Roman" w:cs="Times New Roman"/>
          <w:sz w:val="24"/>
          <w:szCs w:val="24"/>
        </w:rPr>
        <w:t xml:space="preserve">, цены на </w:t>
      </w:r>
      <w:r w:rsidR="00D443BD">
        <w:rPr>
          <w:rFonts w:ascii="Times New Roman" w:hAnsi="Times New Roman" w:cs="Times New Roman"/>
          <w:sz w:val="24"/>
          <w:szCs w:val="24"/>
        </w:rPr>
        <w:t>ж</w:t>
      </w:r>
      <w:r w:rsidR="00864CA4">
        <w:rPr>
          <w:rFonts w:ascii="Times New Roman" w:hAnsi="Times New Roman" w:cs="Times New Roman"/>
          <w:sz w:val="24"/>
          <w:szCs w:val="24"/>
        </w:rPr>
        <w:t>иль</w:t>
      </w:r>
      <w:r w:rsidR="00D443BD">
        <w:rPr>
          <w:rFonts w:ascii="Times New Roman" w:hAnsi="Times New Roman" w:cs="Times New Roman"/>
          <w:sz w:val="24"/>
          <w:szCs w:val="24"/>
        </w:rPr>
        <w:t>ё</w:t>
      </w:r>
      <w:r w:rsidR="00864CA4">
        <w:rPr>
          <w:rFonts w:ascii="Times New Roman" w:hAnsi="Times New Roman" w:cs="Times New Roman"/>
          <w:sz w:val="24"/>
          <w:szCs w:val="24"/>
        </w:rPr>
        <w:t xml:space="preserve"> публикуются Росстатом ежеквартально</w:t>
      </w:r>
      <w:r w:rsidR="00C50A87">
        <w:rPr>
          <w:rFonts w:ascii="Times New Roman" w:hAnsi="Times New Roman" w:cs="Times New Roman"/>
          <w:sz w:val="24"/>
          <w:szCs w:val="24"/>
        </w:rPr>
        <w:t>)</w:t>
      </w:r>
      <w:r w:rsidRPr="00AE4332">
        <w:rPr>
          <w:rFonts w:ascii="Times New Roman" w:hAnsi="Times New Roman" w:cs="Times New Roman"/>
          <w:sz w:val="24"/>
          <w:szCs w:val="24"/>
        </w:rPr>
        <w:t xml:space="preserve">. </w:t>
      </w:r>
      <w:r w:rsidR="0015404A">
        <w:rPr>
          <w:rFonts w:ascii="Times New Roman" w:hAnsi="Times New Roman" w:cs="Times New Roman"/>
          <w:sz w:val="24"/>
          <w:szCs w:val="24"/>
        </w:rPr>
        <w:t xml:space="preserve">В </w:t>
      </w:r>
      <w:r w:rsidR="00D92245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15404A">
        <w:rPr>
          <w:rFonts w:ascii="Times New Roman" w:hAnsi="Times New Roman" w:cs="Times New Roman"/>
          <w:sz w:val="24"/>
          <w:szCs w:val="24"/>
        </w:rPr>
        <w:t>перво</w:t>
      </w:r>
      <w:r w:rsidR="00D92245">
        <w:rPr>
          <w:rFonts w:ascii="Times New Roman" w:hAnsi="Times New Roman" w:cs="Times New Roman"/>
          <w:sz w:val="24"/>
          <w:szCs w:val="24"/>
        </w:rPr>
        <w:t>го</w:t>
      </w:r>
      <w:r w:rsidR="0015404A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5340C">
        <w:rPr>
          <w:rFonts w:ascii="Times New Roman" w:hAnsi="Times New Roman" w:cs="Times New Roman"/>
          <w:sz w:val="24"/>
          <w:szCs w:val="24"/>
        </w:rPr>
        <w:t>а</w:t>
      </w:r>
      <w:r w:rsidR="0015404A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864CA4">
        <w:rPr>
          <w:rFonts w:ascii="Times New Roman" w:hAnsi="Times New Roman" w:cs="Times New Roman"/>
          <w:sz w:val="24"/>
          <w:szCs w:val="24"/>
        </w:rPr>
        <w:t>в Санкт-Петербурге эта площадь</w:t>
      </w:r>
      <w:r w:rsidR="0015404A">
        <w:rPr>
          <w:rFonts w:ascii="Times New Roman" w:hAnsi="Times New Roman" w:cs="Times New Roman"/>
          <w:sz w:val="24"/>
          <w:szCs w:val="24"/>
        </w:rPr>
        <w:t xml:space="preserve"> </w:t>
      </w:r>
      <w:r w:rsidR="00FB0E0E">
        <w:rPr>
          <w:rFonts w:ascii="Times New Roman" w:hAnsi="Times New Roman" w:cs="Times New Roman"/>
          <w:sz w:val="24"/>
          <w:szCs w:val="24"/>
        </w:rPr>
        <w:t>составл</w:t>
      </w:r>
      <w:r w:rsidR="0006353C">
        <w:rPr>
          <w:rFonts w:ascii="Times New Roman" w:hAnsi="Times New Roman" w:cs="Times New Roman"/>
          <w:sz w:val="24"/>
          <w:szCs w:val="24"/>
        </w:rPr>
        <w:t>ял</w:t>
      </w:r>
      <w:r w:rsidR="00FB0E0E">
        <w:rPr>
          <w:rFonts w:ascii="Times New Roman" w:hAnsi="Times New Roman" w:cs="Times New Roman"/>
          <w:sz w:val="24"/>
          <w:szCs w:val="24"/>
        </w:rPr>
        <w:t xml:space="preserve">а </w:t>
      </w:r>
      <w:r w:rsidR="00D92245" w:rsidRPr="00D92245">
        <w:rPr>
          <w:rFonts w:ascii="Times New Roman" w:hAnsi="Times New Roman" w:cs="Times New Roman"/>
          <w:sz w:val="24"/>
          <w:szCs w:val="24"/>
        </w:rPr>
        <w:t xml:space="preserve">27,4 </w:t>
      </w:r>
      <w:r w:rsidR="00D92245" w:rsidRPr="00D92245">
        <w:rPr>
          <w:rFonts w:ascii="Times New Roman" w:hAnsi="Times New Roman" w:cs="Times New Roman"/>
          <w:bCs/>
        </w:rPr>
        <w:t>м</w:t>
      </w:r>
      <w:proofErr w:type="gramStart"/>
      <w:r w:rsidR="00D92245" w:rsidRPr="00D92245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="00D92245" w:rsidRPr="00D92245">
        <w:rPr>
          <w:rFonts w:ascii="Times New Roman" w:hAnsi="Times New Roman" w:cs="Times New Roman"/>
          <w:bCs/>
        </w:rPr>
        <w:t xml:space="preserve">, что </w:t>
      </w:r>
      <w:r w:rsidR="00D00778">
        <w:rPr>
          <w:rFonts w:ascii="Times New Roman" w:hAnsi="Times New Roman" w:cs="Times New Roman"/>
          <w:bCs/>
        </w:rPr>
        <w:t>н</w:t>
      </w:r>
      <w:r w:rsidR="00D92245" w:rsidRPr="00D92245">
        <w:rPr>
          <w:rFonts w:ascii="Times New Roman" w:hAnsi="Times New Roman" w:cs="Times New Roman"/>
          <w:bCs/>
        </w:rPr>
        <w:t>а 1,</w:t>
      </w:r>
      <w:r w:rsidR="00E76732">
        <w:rPr>
          <w:rFonts w:ascii="Times New Roman" w:hAnsi="Times New Roman" w:cs="Times New Roman"/>
          <w:bCs/>
        </w:rPr>
        <w:t>95</w:t>
      </w:r>
      <w:r w:rsidR="00D92245" w:rsidRPr="00D92245">
        <w:rPr>
          <w:rFonts w:ascii="Times New Roman" w:hAnsi="Times New Roman" w:cs="Times New Roman"/>
          <w:bCs/>
        </w:rPr>
        <w:t xml:space="preserve"> м</w:t>
      </w:r>
      <w:r w:rsidR="00D92245" w:rsidRPr="00D92245">
        <w:rPr>
          <w:rFonts w:ascii="Times New Roman" w:hAnsi="Times New Roman" w:cs="Times New Roman"/>
          <w:bCs/>
          <w:vertAlign w:val="superscript"/>
        </w:rPr>
        <w:t>2</w:t>
      </w:r>
      <w:r w:rsidR="00D92245" w:rsidRPr="00D92245">
        <w:rPr>
          <w:rFonts w:ascii="Times New Roman" w:hAnsi="Times New Roman" w:cs="Times New Roman"/>
          <w:bCs/>
        </w:rPr>
        <w:t xml:space="preserve"> </w:t>
      </w:r>
      <w:r w:rsidR="00D92245" w:rsidRPr="00C734F6">
        <w:rPr>
          <w:rFonts w:ascii="Times New Roman" w:hAnsi="Times New Roman" w:cs="Times New Roman"/>
          <w:sz w:val="24"/>
          <w:szCs w:val="24"/>
        </w:rPr>
        <w:t>(+7,</w:t>
      </w:r>
      <w:r w:rsidR="00E76732">
        <w:rPr>
          <w:rFonts w:ascii="Times New Roman" w:hAnsi="Times New Roman" w:cs="Times New Roman"/>
          <w:sz w:val="24"/>
          <w:szCs w:val="24"/>
        </w:rPr>
        <w:t>6</w:t>
      </w:r>
      <w:r w:rsidR="00D92245" w:rsidRPr="00C734F6">
        <w:rPr>
          <w:rFonts w:ascii="Times New Roman" w:hAnsi="Times New Roman" w:cs="Times New Roman"/>
          <w:sz w:val="24"/>
          <w:szCs w:val="24"/>
        </w:rPr>
        <w:t>%) больше, чем годом ранее.</w:t>
      </w:r>
      <w:r w:rsidR="005A7C33">
        <w:rPr>
          <w:rFonts w:ascii="Times New Roman" w:hAnsi="Times New Roman" w:cs="Times New Roman"/>
          <w:sz w:val="24"/>
          <w:szCs w:val="24"/>
        </w:rPr>
        <w:t xml:space="preserve"> </w:t>
      </w:r>
      <w:r w:rsidR="00864CA4">
        <w:rPr>
          <w:rFonts w:ascii="Times New Roman" w:hAnsi="Times New Roman" w:cs="Times New Roman"/>
          <w:sz w:val="24"/>
          <w:szCs w:val="24"/>
        </w:rPr>
        <w:t>Основным ф</w:t>
      </w:r>
      <w:r w:rsidR="005A7C33">
        <w:rPr>
          <w:rFonts w:ascii="Times New Roman" w:hAnsi="Times New Roman" w:cs="Times New Roman"/>
          <w:sz w:val="24"/>
          <w:szCs w:val="24"/>
        </w:rPr>
        <w:t>актор</w:t>
      </w:r>
      <w:r w:rsidR="00BF48CF">
        <w:rPr>
          <w:rFonts w:ascii="Times New Roman" w:hAnsi="Times New Roman" w:cs="Times New Roman"/>
          <w:sz w:val="24"/>
          <w:szCs w:val="24"/>
        </w:rPr>
        <w:t>о</w:t>
      </w:r>
      <w:r w:rsidR="005A7C33">
        <w:rPr>
          <w:rFonts w:ascii="Times New Roman" w:hAnsi="Times New Roman" w:cs="Times New Roman"/>
          <w:sz w:val="24"/>
          <w:szCs w:val="24"/>
        </w:rPr>
        <w:t>м</w:t>
      </w:r>
      <w:r w:rsidR="00A57376">
        <w:rPr>
          <w:rFonts w:ascii="Times New Roman" w:hAnsi="Times New Roman" w:cs="Times New Roman"/>
          <w:sz w:val="24"/>
          <w:szCs w:val="24"/>
        </w:rPr>
        <w:t>, определ</w:t>
      </w:r>
      <w:r w:rsidR="005F5255">
        <w:rPr>
          <w:rFonts w:ascii="Times New Roman" w:hAnsi="Times New Roman" w:cs="Times New Roman"/>
          <w:sz w:val="24"/>
          <w:szCs w:val="24"/>
        </w:rPr>
        <w:t xml:space="preserve">ившим </w:t>
      </w:r>
      <w:r w:rsidR="00C50A87">
        <w:rPr>
          <w:rFonts w:ascii="Times New Roman" w:hAnsi="Times New Roman" w:cs="Times New Roman"/>
          <w:sz w:val="24"/>
          <w:szCs w:val="24"/>
        </w:rPr>
        <w:t>рост</w:t>
      </w:r>
      <w:r w:rsidR="005A7C33">
        <w:rPr>
          <w:rFonts w:ascii="Times New Roman" w:hAnsi="Times New Roman" w:cs="Times New Roman"/>
          <w:sz w:val="24"/>
          <w:szCs w:val="24"/>
        </w:rPr>
        <w:t xml:space="preserve"> </w:t>
      </w:r>
      <w:r w:rsidR="00864CA4">
        <w:rPr>
          <w:rFonts w:ascii="Times New Roman" w:hAnsi="Times New Roman" w:cs="Times New Roman"/>
          <w:sz w:val="24"/>
          <w:szCs w:val="24"/>
        </w:rPr>
        <w:t>д</w:t>
      </w:r>
      <w:r w:rsidR="005A7C33">
        <w:rPr>
          <w:rFonts w:ascii="Times New Roman" w:hAnsi="Times New Roman" w:cs="Times New Roman"/>
          <w:sz w:val="24"/>
          <w:szCs w:val="24"/>
        </w:rPr>
        <w:t>оступности</w:t>
      </w:r>
      <w:r w:rsidR="00D00778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06B09">
        <w:rPr>
          <w:rFonts w:ascii="Times New Roman" w:hAnsi="Times New Roman" w:cs="Times New Roman"/>
          <w:sz w:val="24"/>
          <w:szCs w:val="24"/>
        </w:rPr>
        <w:t>,</w:t>
      </w:r>
      <w:r w:rsidR="005A7C33">
        <w:rPr>
          <w:rFonts w:ascii="Times New Roman" w:hAnsi="Times New Roman" w:cs="Times New Roman"/>
          <w:sz w:val="24"/>
          <w:szCs w:val="24"/>
        </w:rPr>
        <w:t xml:space="preserve"> </w:t>
      </w:r>
      <w:r w:rsidR="00864CA4">
        <w:rPr>
          <w:rFonts w:ascii="Times New Roman" w:hAnsi="Times New Roman" w:cs="Times New Roman"/>
          <w:sz w:val="24"/>
          <w:szCs w:val="24"/>
        </w:rPr>
        <w:t xml:space="preserve">выступило </w:t>
      </w:r>
      <w:r w:rsidR="003F52C1">
        <w:rPr>
          <w:rFonts w:ascii="Times New Roman" w:hAnsi="Times New Roman" w:cs="Times New Roman"/>
          <w:sz w:val="24"/>
          <w:szCs w:val="24"/>
        </w:rPr>
        <w:t>снижение</w:t>
      </w:r>
      <w:r w:rsidR="00C50A87">
        <w:rPr>
          <w:rFonts w:ascii="Times New Roman" w:hAnsi="Times New Roman" w:cs="Times New Roman"/>
          <w:sz w:val="24"/>
          <w:szCs w:val="24"/>
        </w:rPr>
        <w:t xml:space="preserve"> процентной ставки</w:t>
      </w:r>
      <w:r w:rsidR="00864CA4">
        <w:rPr>
          <w:rFonts w:ascii="Times New Roman" w:hAnsi="Times New Roman" w:cs="Times New Roman"/>
          <w:sz w:val="24"/>
          <w:szCs w:val="24"/>
        </w:rPr>
        <w:t xml:space="preserve"> ИЖК, компенсировавшее влияние удорожания квадратного метра на первичном рынке.</w:t>
      </w:r>
    </w:p>
    <w:p w:rsidR="00864CA4" w:rsidRDefault="00864CA4" w:rsidP="008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43" w:rsidRPr="00FA7B43" w:rsidRDefault="00FA7B43" w:rsidP="00FA7B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Доступность ипотечного жилищного кредитования</w:t>
      </w:r>
      <w:r w:rsidR="00205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первом квартале</w:t>
      </w:r>
    </w:p>
    <w:p w:rsidR="001975E0" w:rsidRPr="00D92245" w:rsidRDefault="001975E0" w:rsidP="0057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276"/>
        <w:gridCol w:w="1417"/>
        <w:gridCol w:w="1134"/>
        <w:gridCol w:w="1133"/>
        <w:gridCol w:w="1560"/>
        <w:gridCol w:w="1701"/>
      </w:tblGrid>
      <w:tr w:rsidR="00164E52" w:rsidRPr="007E0178" w:rsidTr="00164E52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E52" w:rsidRPr="0064097B" w:rsidRDefault="00A22463" w:rsidP="00A22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164E52" w:rsidRPr="0064097B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446DDC">
            <w:pPr>
              <w:jc w:val="center"/>
            </w:pPr>
            <w:r w:rsidRPr="0064097B">
              <w:rPr>
                <w:rFonts w:ascii="Times New Roman" w:hAnsi="Times New Roman" w:cs="Times New Roman"/>
                <w:b/>
                <w:bCs/>
              </w:rPr>
              <w:t xml:space="preserve">Площадь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4E52" w:rsidRPr="0064097B" w:rsidRDefault="00164E52" w:rsidP="008F7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 xml:space="preserve">Средняя цена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64097B">
              <w:rPr>
                <w:rFonts w:ascii="Times New Roman" w:hAnsi="Times New Roman" w:cs="Times New Roman"/>
                <w:b/>
                <w:bCs/>
              </w:rPr>
              <w:t>1 м</w:t>
            </w:r>
            <w:proofErr w:type="gramStart"/>
            <w:r w:rsidRPr="0064097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64097B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</w:t>
            </w:r>
            <w:r w:rsidRPr="0064097B">
              <w:rPr>
                <w:rFonts w:ascii="Times New Roman" w:hAnsi="Times New Roman" w:cs="Times New Roman"/>
                <w:b/>
                <w:bCs/>
              </w:rPr>
              <w:t xml:space="preserve">на первичном рынке, </w:t>
            </w:r>
            <w:r w:rsidR="00A22463">
              <w:rPr>
                <w:rFonts w:ascii="Times New Roman" w:hAnsi="Times New Roman" w:cs="Times New Roman"/>
                <w:b/>
                <w:bCs/>
              </w:rPr>
              <w:t xml:space="preserve">тыс. </w:t>
            </w:r>
            <w:r w:rsidRPr="0064097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2" w:rsidRPr="0064097B" w:rsidRDefault="00164E52" w:rsidP="00FA7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97B">
              <w:rPr>
                <w:rFonts w:ascii="Times New Roman" w:hAnsi="Times New Roman" w:cs="Times New Roman"/>
                <w:b/>
              </w:rPr>
              <w:t xml:space="preserve">Среднерыночные условия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25ED9">
              <w:rPr>
                <w:rFonts w:ascii="Times New Roman" w:hAnsi="Times New Roman" w:cs="Times New Roman"/>
              </w:rPr>
              <w:t>(по данным на 1 апреля)</w:t>
            </w:r>
          </w:p>
        </w:tc>
      </w:tr>
      <w:tr w:rsidR="00164E52" w:rsidRPr="007E0178" w:rsidTr="00164E52">
        <w:trPr>
          <w:trHeight w:val="1023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E52" w:rsidRPr="0064097B" w:rsidRDefault="00164E52" w:rsidP="004A08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446D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E52" w:rsidRPr="0064097B" w:rsidRDefault="00164E52" w:rsidP="004A08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2" w:rsidRPr="0064097B" w:rsidRDefault="00164E52" w:rsidP="00A20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 xml:space="preserve">Размер </w:t>
            </w:r>
            <w:r w:rsidRPr="0064097B">
              <w:rPr>
                <w:rFonts w:ascii="Times New Roman" w:hAnsi="Times New Roman" w:cs="Times New Roman"/>
                <w:b/>
                <w:bCs/>
              </w:rPr>
              <w:br/>
              <w:t xml:space="preserve">кредита, </w:t>
            </w:r>
            <w:r w:rsidRPr="0064097B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64097B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64097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52" w:rsidRPr="0064097B" w:rsidRDefault="00164E52" w:rsidP="00A20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 xml:space="preserve">Платеж, </w:t>
            </w:r>
            <w:r w:rsidRPr="0064097B">
              <w:rPr>
                <w:rFonts w:ascii="Times New Roman" w:hAnsi="Times New Roman" w:cs="Times New Roman"/>
                <w:b/>
                <w:bCs/>
              </w:rPr>
              <w:br/>
            </w:r>
            <w:r w:rsidR="00A22463">
              <w:rPr>
                <w:rFonts w:ascii="Times New Roman" w:hAnsi="Times New Roman" w:cs="Times New Roman"/>
                <w:b/>
              </w:rPr>
              <w:t xml:space="preserve">тыс. </w:t>
            </w:r>
            <w:r w:rsidRPr="0064097B">
              <w:rPr>
                <w:rFonts w:ascii="Times New Roman" w:hAnsi="Times New Roman" w:cs="Times New Roman"/>
                <w:b/>
              </w:rPr>
              <w:t xml:space="preserve">руб.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20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 xml:space="preserve">Ставка, </w:t>
            </w:r>
            <w:r w:rsidRPr="0064097B">
              <w:rPr>
                <w:rFonts w:ascii="Times New Roman" w:hAnsi="Times New Roman" w:cs="Times New Roman"/>
                <w:b/>
              </w:rPr>
              <w:br/>
              <w:t xml:space="preserve">% </w:t>
            </w:r>
            <w:proofErr w:type="gramStart"/>
            <w:r w:rsidRPr="0064097B">
              <w:rPr>
                <w:rFonts w:ascii="Times New Roman" w:hAnsi="Times New Roman" w:cs="Times New Roman"/>
                <w:b/>
              </w:rPr>
              <w:t>годовых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20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 xml:space="preserve">Срок кредита, </w:t>
            </w:r>
            <w:r w:rsidRPr="0064097B">
              <w:rPr>
                <w:rFonts w:ascii="Times New Roman" w:hAnsi="Times New Roman" w:cs="Times New Roman"/>
                <w:b/>
                <w:bCs/>
              </w:rPr>
              <w:br/>
            </w:r>
            <w:r w:rsidRPr="0064097B">
              <w:rPr>
                <w:rFonts w:ascii="Times New Roman" w:hAnsi="Times New Roman" w:cs="Times New Roman"/>
                <w:b/>
              </w:rPr>
              <w:t>лет (месяцев)</w:t>
            </w:r>
          </w:p>
        </w:tc>
      </w:tr>
      <w:tr w:rsidR="00164E52" w:rsidRPr="007E0178" w:rsidTr="00164E52">
        <w:trPr>
          <w:trHeight w:val="1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E52" w:rsidRPr="0064097B" w:rsidRDefault="00164E52" w:rsidP="00A909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4097B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446D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>27,4 м</w:t>
            </w:r>
            <w:proofErr w:type="gramStart"/>
            <w:r w:rsidRPr="0064097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E52" w:rsidRPr="0064097B" w:rsidRDefault="00164E52" w:rsidP="00A224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118</w:t>
            </w:r>
            <w:r w:rsidR="00A22463">
              <w:rPr>
                <w:rFonts w:ascii="Times New Roman" w:hAnsi="Times New Roman" w:cs="Times New Roman"/>
                <w:bCs/>
              </w:rPr>
              <w:t>,</w:t>
            </w:r>
            <w:r w:rsidRPr="0064097B"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E767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3,2</w:t>
            </w: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224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29</w:t>
            </w:r>
            <w:r w:rsidR="00A2246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909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8,54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909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18,5  (222)</w:t>
            </w:r>
          </w:p>
        </w:tc>
      </w:tr>
      <w:tr w:rsidR="00164E52" w:rsidRPr="007E0178" w:rsidTr="00164E52">
        <w:trPr>
          <w:trHeight w:val="1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E52" w:rsidRPr="0064097B" w:rsidRDefault="00164E52" w:rsidP="00A909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4097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446D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97B">
              <w:rPr>
                <w:rFonts w:ascii="Times New Roman" w:hAnsi="Times New Roman" w:cs="Times New Roman"/>
                <w:b/>
                <w:bCs/>
              </w:rPr>
              <w:t>25,6 м</w:t>
            </w:r>
            <w:proofErr w:type="gramStart"/>
            <w:r w:rsidRPr="0064097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4E52" w:rsidRPr="0064097B" w:rsidRDefault="00164E52" w:rsidP="00A224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112</w:t>
            </w:r>
            <w:r w:rsidR="00A22463">
              <w:rPr>
                <w:rFonts w:ascii="Times New Roman" w:hAnsi="Times New Roman" w:cs="Times New Roman"/>
                <w:bCs/>
              </w:rPr>
              <w:t>,</w:t>
            </w:r>
            <w:r w:rsidRPr="0064097B">
              <w:rPr>
                <w:rFonts w:ascii="Times New Roman" w:hAnsi="Times New Roman" w:cs="Times New Roman"/>
                <w:bCs/>
              </w:rPr>
              <w:t>768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E767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2,8</w:t>
            </w: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224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29</w:t>
            </w:r>
            <w:r w:rsidR="00A2246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909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10,38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E52" w:rsidRPr="0064097B" w:rsidRDefault="00164E52" w:rsidP="00A909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97B">
              <w:rPr>
                <w:rFonts w:ascii="Times New Roman" w:hAnsi="Times New Roman" w:cs="Times New Roman"/>
                <w:bCs/>
              </w:rPr>
              <w:t>17,8  (213)</w:t>
            </w:r>
          </w:p>
        </w:tc>
      </w:tr>
    </w:tbl>
    <w:p w:rsidR="007E0178" w:rsidRDefault="007E0178" w:rsidP="005735E0"/>
    <w:sectPr w:rsidR="007E0178" w:rsidSect="00A204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25" w:rsidRDefault="00AD1A25" w:rsidP="00962F0A">
      <w:pPr>
        <w:spacing w:after="0" w:line="240" w:lineRule="auto"/>
      </w:pPr>
      <w:r>
        <w:separator/>
      </w:r>
    </w:p>
  </w:endnote>
  <w:endnote w:type="continuationSeparator" w:id="0">
    <w:p w:rsidR="00AD1A25" w:rsidRDefault="00AD1A25" w:rsidP="009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25" w:rsidRDefault="00AD1A25" w:rsidP="00962F0A">
      <w:pPr>
        <w:spacing w:after="0" w:line="240" w:lineRule="auto"/>
      </w:pPr>
      <w:r>
        <w:separator/>
      </w:r>
    </w:p>
  </w:footnote>
  <w:footnote w:type="continuationSeparator" w:id="0">
    <w:p w:rsidR="00AD1A25" w:rsidRDefault="00AD1A25" w:rsidP="0096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88F"/>
    <w:multiLevelType w:val="hybridMultilevel"/>
    <w:tmpl w:val="CEBA2C8A"/>
    <w:lvl w:ilvl="0" w:tplc="9452AC06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3B62"/>
    <w:multiLevelType w:val="hybridMultilevel"/>
    <w:tmpl w:val="E08AC062"/>
    <w:lvl w:ilvl="0" w:tplc="C6A8C7B8">
      <w:start w:val="1"/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5581F"/>
    <w:multiLevelType w:val="hybridMultilevel"/>
    <w:tmpl w:val="CEC04EC6"/>
    <w:lvl w:ilvl="0" w:tplc="8760D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C5"/>
    <w:rsid w:val="000306E9"/>
    <w:rsid w:val="0003257C"/>
    <w:rsid w:val="000546B9"/>
    <w:rsid w:val="00061B2D"/>
    <w:rsid w:val="0006353C"/>
    <w:rsid w:val="00096665"/>
    <w:rsid w:val="000B1D2D"/>
    <w:rsid w:val="000B2395"/>
    <w:rsid w:val="000C3B14"/>
    <w:rsid w:val="000D1A6E"/>
    <w:rsid w:val="000D2929"/>
    <w:rsid w:val="000E4450"/>
    <w:rsid w:val="000F04BA"/>
    <w:rsid w:val="00102B11"/>
    <w:rsid w:val="00123C2F"/>
    <w:rsid w:val="00125EE4"/>
    <w:rsid w:val="0015340C"/>
    <w:rsid w:val="0015404A"/>
    <w:rsid w:val="00164E52"/>
    <w:rsid w:val="00190537"/>
    <w:rsid w:val="001975E0"/>
    <w:rsid w:val="001D7CA2"/>
    <w:rsid w:val="001F0F45"/>
    <w:rsid w:val="00205297"/>
    <w:rsid w:val="00207AE0"/>
    <w:rsid w:val="0021288E"/>
    <w:rsid w:val="002338E0"/>
    <w:rsid w:val="00241955"/>
    <w:rsid w:val="002433B4"/>
    <w:rsid w:val="00245BDD"/>
    <w:rsid w:val="0025194A"/>
    <w:rsid w:val="002557AA"/>
    <w:rsid w:val="0028152A"/>
    <w:rsid w:val="002B3B48"/>
    <w:rsid w:val="002C7745"/>
    <w:rsid w:val="002D5F37"/>
    <w:rsid w:val="002D7FF4"/>
    <w:rsid w:val="002E18DD"/>
    <w:rsid w:val="002F67C7"/>
    <w:rsid w:val="003300C8"/>
    <w:rsid w:val="0034206B"/>
    <w:rsid w:val="00356820"/>
    <w:rsid w:val="00360DDD"/>
    <w:rsid w:val="003925AF"/>
    <w:rsid w:val="003A3C4D"/>
    <w:rsid w:val="003C223F"/>
    <w:rsid w:val="003D165C"/>
    <w:rsid w:val="003E5DBF"/>
    <w:rsid w:val="003F39AE"/>
    <w:rsid w:val="003F52C1"/>
    <w:rsid w:val="0040151A"/>
    <w:rsid w:val="00431A77"/>
    <w:rsid w:val="004630FC"/>
    <w:rsid w:val="00480E68"/>
    <w:rsid w:val="00496D9D"/>
    <w:rsid w:val="004975C3"/>
    <w:rsid w:val="004A0870"/>
    <w:rsid w:val="004A2603"/>
    <w:rsid w:val="004A6188"/>
    <w:rsid w:val="004A7977"/>
    <w:rsid w:val="004D3145"/>
    <w:rsid w:val="004F1ADF"/>
    <w:rsid w:val="00506F58"/>
    <w:rsid w:val="00514293"/>
    <w:rsid w:val="00531DB7"/>
    <w:rsid w:val="00540F5C"/>
    <w:rsid w:val="005643D9"/>
    <w:rsid w:val="00565CD6"/>
    <w:rsid w:val="005735E0"/>
    <w:rsid w:val="005A5652"/>
    <w:rsid w:val="005A7C33"/>
    <w:rsid w:val="005B29BA"/>
    <w:rsid w:val="005D1AD4"/>
    <w:rsid w:val="005D4946"/>
    <w:rsid w:val="005F5255"/>
    <w:rsid w:val="00623EEF"/>
    <w:rsid w:val="00625ED9"/>
    <w:rsid w:val="006269C1"/>
    <w:rsid w:val="006312A6"/>
    <w:rsid w:val="0064097B"/>
    <w:rsid w:val="006418B0"/>
    <w:rsid w:val="00683F85"/>
    <w:rsid w:val="00692563"/>
    <w:rsid w:val="006A1784"/>
    <w:rsid w:val="006F771A"/>
    <w:rsid w:val="007006C5"/>
    <w:rsid w:val="007251D0"/>
    <w:rsid w:val="007260B1"/>
    <w:rsid w:val="00727A80"/>
    <w:rsid w:val="00742EF0"/>
    <w:rsid w:val="007777B5"/>
    <w:rsid w:val="00793DCC"/>
    <w:rsid w:val="007B33E3"/>
    <w:rsid w:val="007C5F66"/>
    <w:rsid w:val="007E0178"/>
    <w:rsid w:val="007E2EFA"/>
    <w:rsid w:val="007F2634"/>
    <w:rsid w:val="007F44F7"/>
    <w:rsid w:val="00801C93"/>
    <w:rsid w:val="00806B09"/>
    <w:rsid w:val="008347B9"/>
    <w:rsid w:val="0084215E"/>
    <w:rsid w:val="00852734"/>
    <w:rsid w:val="0086001C"/>
    <w:rsid w:val="00864CA4"/>
    <w:rsid w:val="008902A3"/>
    <w:rsid w:val="008914AA"/>
    <w:rsid w:val="008C2D6D"/>
    <w:rsid w:val="008D178C"/>
    <w:rsid w:val="008F7CE2"/>
    <w:rsid w:val="00907BAB"/>
    <w:rsid w:val="00911F94"/>
    <w:rsid w:val="0092006F"/>
    <w:rsid w:val="00933DC5"/>
    <w:rsid w:val="00937F3F"/>
    <w:rsid w:val="00956496"/>
    <w:rsid w:val="00962F0A"/>
    <w:rsid w:val="00977A81"/>
    <w:rsid w:val="00995A0B"/>
    <w:rsid w:val="009C6A05"/>
    <w:rsid w:val="00A17CCE"/>
    <w:rsid w:val="00A2049F"/>
    <w:rsid w:val="00A22463"/>
    <w:rsid w:val="00A22489"/>
    <w:rsid w:val="00A27C1D"/>
    <w:rsid w:val="00A3275F"/>
    <w:rsid w:val="00A34AFC"/>
    <w:rsid w:val="00A3627D"/>
    <w:rsid w:val="00A44A26"/>
    <w:rsid w:val="00A57376"/>
    <w:rsid w:val="00A84C51"/>
    <w:rsid w:val="00A86195"/>
    <w:rsid w:val="00A90951"/>
    <w:rsid w:val="00A90A5D"/>
    <w:rsid w:val="00AA4F3A"/>
    <w:rsid w:val="00AB2392"/>
    <w:rsid w:val="00AC5674"/>
    <w:rsid w:val="00AD1A25"/>
    <w:rsid w:val="00AE4332"/>
    <w:rsid w:val="00AF09A2"/>
    <w:rsid w:val="00AF2962"/>
    <w:rsid w:val="00AF3FDC"/>
    <w:rsid w:val="00B10EB2"/>
    <w:rsid w:val="00B131F3"/>
    <w:rsid w:val="00B37516"/>
    <w:rsid w:val="00B4157E"/>
    <w:rsid w:val="00B44507"/>
    <w:rsid w:val="00B56C88"/>
    <w:rsid w:val="00B71A31"/>
    <w:rsid w:val="00B75D75"/>
    <w:rsid w:val="00B76267"/>
    <w:rsid w:val="00B7638A"/>
    <w:rsid w:val="00B76C9D"/>
    <w:rsid w:val="00B9238D"/>
    <w:rsid w:val="00B97873"/>
    <w:rsid w:val="00BA71E5"/>
    <w:rsid w:val="00BB2AEA"/>
    <w:rsid w:val="00BB4DC5"/>
    <w:rsid w:val="00BC5BBF"/>
    <w:rsid w:val="00BD1827"/>
    <w:rsid w:val="00BF48CF"/>
    <w:rsid w:val="00C033DB"/>
    <w:rsid w:val="00C12C37"/>
    <w:rsid w:val="00C14BD0"/>
    <w:rsid w:val="00C3098D"/>
    <w:rsid w:val="00C34095"/>
    <w:rsid w:val="00C50A87"/>
    <w:rsid w:val="00C55323"/>
    <w:rsid w:val="00C61C8C"/>
    <w:rsid w:val="00C643DD"/>
    <w:rsid w:val="00C6457B"/>
    <w:rsid w:val="00C67B7B"/>
    <w:rsid w:val="00C72D7B"/>
    <w:rsid w:val="00C734F6"/>
    <w:rsid w:val="00C945F8"/>
    <w:rsid w:val="00C95DBC"/>
    <w:rsid w:val="00CA1074"/>
    <w:rsid w:val="00CB2C7A"/>
    <w:rsid w:val="00CD75F9"/>
    <w:rsid w:val="00CE529B"/>
    <w:rsid w:val="00CE6ED8"/>
    <w:rsid w:val="00D00778"/>
    <w:rsid w:val="00D1636C"/>
    <w:rsid w:val="00D2257F"/>
    <w:rsid w:val="00D4431F"/>
    <w:rsid w:val="00D443BD"/>
    <w:rsid w:val="00D45C55"/>
    <w:rsid w:val="00D56DDA"/>
    <w:rsid w:val="00D70AF1"/>
    <w:rsid w:val="00D77E48"/>
    <w:rsid w:val="00D92245"/>
    <w:rsid w:val="00DA286F"/>
    <w:rsid w:val="00DA5AFC"/>
    <w:rsid w:val="00DE3579"/>
    <w:rsid w:val="00E320CC"/>
    <w:rsid w:val="00E3330A"/>
    <w:rsid w:val="00E55F7B"/>
    <w:rsid w:val="00E655A2"/>
    <w:rsid w:val="00E7065A"/>
    <w:rsid w:val="00E76732"/>
    <w:rsid w:val="00E81A40"/>
    <w:rsid w:val="00E8464E"/>
    <w:rsid w:val="00E934AC"/>
    <w:rsid w:val="00F062F7"/>
    <w:rsid w:val="00F10C08"/>
    <w:rsid w:val="00F2103E"/>
    <w:rsid w:val="00F33798"/>
    <w:rsid w:val="00F35135"/>
    <w:rsid w:val="00F56DCA"/>
    <w:rsid w:val="00FA3CB1"/>
    <w:rsid w:val="00FA7B43"/>
    <w:rsid w:val="00FB0E0E"/>
    <w:rsid w:val="00FB1933"/>
    <w:rsid w:val="00FC4ACB"/>
    <w:rsid w:val="00FD6358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1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5E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3B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1955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2F0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F0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F0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873"/>
  </w:style>
  <w:style w:type="paragraph" w:styleId="ae">
    <w:name w:val="footer"/>
    <w:basedOn w:val="a"/>
    <w:link w:val="af"/>
    <w:uiPriority w:val="99"/>
    <w:unhideWhenUsed/>
    <w:rsid w:val="00B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1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5E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3B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41955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2F0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F0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F0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873"/>
  </w:style>
  <w:style w:type="paragraph" w:styleId="ae">
    <w:name w:val="footer"/>
    <w:basedOn w:val="a"/>
    <w:link w:val="af"/>
    <w:uiPriority w:val="99"/>
    <w:unhideWhenUsed/>
    <w:rsid w:val="00B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solidFill>
                  <a:sysClr val="windowText" lastClr="000000"/>
                </a:solidFill>
              </a:rPr>
              <a:t>Динамика средних </a:t>
            </a:r>
            <a:r>
              <a:rPr lang="ru-RU" sz="1200" b="1" dirty="0" smtClean="0">
                <a:solidFill>
                  <a:sysClr val="windowText" lastClr="000000"/>
                </a:solidFill>
              </a:rPr>
              <a:t>параметров ИЖК в январе-мае 2020 года</a:t>
            </a:r>
            <a:br>
              <a:rPr lang="ru-RU" sz="1200" b="1" dirty="0" smtClean="0">
                <a:solidFill>
                  <a:sysClr val="windowText" lastClr="000000"/>
                </a:solidFill>
              </a:rPr>
            </a:br>
            <a:r>
              <a:rPr lang="ru-RU" sz="1000" b="0" i="0" baseline="0" dirty="0" smtClean="0">
                <a:solidFill>
                  <a:sysClr val="windowText" lastClr="000000"/>
                </a:solidFill>
              </a:rPr>
              <a:t>метка показывает размер платежа, тыс.руб.</a:t>
            </a:r>
            <a:endParaRPr lang="ru-RU" sz="1000" b="0" i="0" dirty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615856370859097"/>
          <c:y val="4.6827858034279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1176683956373"/>
          <c:y val="0.25824161669847229"/>
          <c:w val="0.84915724397009618"/>
          <c:h val="0.54833747833972302"/>
        </c:manualLayout>
      </c:layout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Срок, лет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5F-4B5E-AEA8-38F1E857CD5C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5F-4B5E-AEA8-38F1E857CD5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5F-4B5E-AEA8-38F1E857CD5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Lbls>
            <c:dLbl>
              <c:idx val="2"/>
              <c:layout>
                <c:manualLayout>
                  <c:x val="-5.9708725087320627E-2"/>
                  <c:y val="-2.8368651706296415E-5"/>
                </c:manualLayout>
              </c:layout>
              <c:dLblPos val="r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3"/>
              <c:layout>
                <c:manualLayout>
                  <c:x val="-8.4484393296991867E-2"/>
                  <c:y val="3.6508887414130178E-2"/>
                </c:manualLayout>
              </c:layout>
              <c:dLblPos val="r"/>
              <c:showLegendKey val="0"/>
              <c:showVal val="0"/>
              <c:showCatName val="0"/>
              <c:showSerName val="0"/>
              <c:showPercent val="0"/>
              <c:showBubbleSize val="1"/>
            </c:dLbl>
            <c:dLbl>
              <c:idx val="4"/>
              <c:spPr/>
              <c:txPr>
                <a:bodyPr/>
                <a:lstStyle/>
                <a:p>
                  <a:pPr>
                    <a:defRPr sz="105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1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Лист1!$A$2:$A$4</c:f>
              <c:numCache>
                <c:formatCode>#\ ##0.####</c:formatCode>
                <c:ptCount val="3"/>
                <c:pt idx="0">
                  <c:v>7.37</c:v>
                </c:pt>
                <c:pt idx="1">
                  <c:v>8.5399999999999991</c:v>
                </c:pt>
                <c:pt idx="2">
                  <c:v>8.68</c:v>
                </c:pt>
              </c:numCache>
            </c:numRef>
          </c:xVal>
          <c:yVal>
            <c:numRef>
              <c:f>Лист1!$B$2:$B$4</c:f>
              <c:numCache>
                <c:formatCode>0.0</c:formatCode>
                <c:ptCount val="3"/>
                <c:pt idx="0">
                  <c:v>18.416666666666668</c:v>
                </c:pt>
                <c:pt idx="1">
                  <c:v>18.5</c:v>
                </c:pt>
                <c:pt idx="2">
                  <c:v>18.25</c:v>
                </c:pt>
              </c:numCache>
            </c:numRef>
          </c:yVal>
          <c:bubbleSize>
            <c:numRef>
              <c:f>Лист1!$C$2:$C$4</c:f>
              <c:numCache>
                <c:formatCode>0.000</c:formatCode>
                <c:ptCount val="3"/>
                <c:pt idx="0">
                  <c:v>26.783531761600472</c:v>
                </c:pt>
                <c:pt idx="1">
                  <c:v>29.335774398656998</c:v>
                </c:pt>
                <c:pt idx="2">
                  <c:v>29.819392347213618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06-5C5F-4B5E-AEA8-38F1E857C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48836352"/>
        <c:axId val="90444544"/>
      </c:bubbleChart>
      <c:valAx>
        <c:axId val="148836352"/>
        <c:scaling>
          <c:orientation val="minMax"/>
          <c:max val="8.8000000000000007"/>
          <c:min val="7.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dirty="0" smtClean="0">
                    <a:solidFill>
                      <a:schemeClr val="tx1"/>
                    </a:solidFill>
                  </a:rPr>
                  <a:t>Ставка</a:t>
                </a:r>
                <a:r>
                  <a:rPr lang="ru-RU" sz="1100" baseline="0" dirty="0" smtClean="0">
                    <a:solidFill>
                      <a:schemeClr val="tx1"/>
                    </a:solidFill>
                  </a:rPr>
                  <a:t> кредитования, </a:t>
                </a:r>
                <a:r>
                  <a:rPr lang="en-US" sz="1100" baseline="0" dirty="0" smtClean="0">
                    <a:solidFill>
                      <a:schemeClr val="tx1"/>
                    </a:solidFill>
                  </a:rPr>
                  <a:t>%</a:t>
                </a:r>
                <a:r>
                  <a:rPr lang="ru-RU" sz="1100" baseline="0" dirty="0" smtClean="0">
                    <a:solidFill>
                      <a:schemeClr val="tx1"/>
                    </a:solidFill>
                  </a:rPr>
                  <a:t> годовых</a:t>
                </a:r>
                <a:endParaRPr lang="ru-RU" sz="1100" dirty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26215796210931719"/>
              <c:y val="0.902165758356602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444544"/>
        <c:crosses val="autoZero"/>
        <c:crossBetween val="midCat"/>
      </c:valAx>
      <c:valAx>
        <c:axId val="9044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dirty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Срок ипотечного кредита, лет</a:t>
                </a:r>
              </a:p>
            </c:rich>
          </c:tx>
          <c:layout>
            <c:manualLayout>
              <c:xMode val="edge"/>
              <c:yMode val="edge"/>
              <c:x val="2.284030060878349E-2"/>
              <c:y val="0.216111056501062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836352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0.27935</cdr:x>
      <cdr:y>0.75819</cdr:y>
    </cdr:from>
    <cdr:to>
      <cdr:x>0.60495</cdr:x>
      <cdr:y>0.8108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89567" y="3017410"/>
          <a:ext cx="1153396" cy="209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0.32836</cdr:x>
      <cdr:y>0.66304</cdr:y>
    </cdr:from>
    <cdr:to>
      <cdr:x>0.62323</cdr:x>
      <cdr:y>0.70174</cdr:y>
    </cdr:to>
    <cdr:sp macro="" textlink="">
      <cdr:nvSpPr>
        <cdr:cNvPr id="7" name="TextBox 6"/>
        <cdr:cNvSpPr txBox="1"/>
      </cdr:nvSpPr>
      <cdr:spPr>
        <a:xfrm xmlns:a="http://schemas.openxmlformats.org/drawingml/2006/main" flipV="1">
          <a:off x="922125" y="2467566"/>
          <a:ext cx="828092" cy="144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0.27178</cdr:x>
      <cdr:y>0.61647</cdr:y>
    </cdr:from>
    <cdr:to>
      <cdr:x>0.55312</cdr:x>
      <cdr:y>0.70334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619001" y="1716549"/>
          <a:ext cx="1675923" cy="2418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 dirty="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удешевление</a:t>
          </a:r>
          <a:r>
            <a:rPr lang="ru-RU" sz="1100" b="1" baseline="0" dirty="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стоимости  кредита</a:t>
          </a:r>
          <a:endParaRPr lang="ru-RU" sz="1100" b="1" dirty="0">
            <a:solidFill>
              <a:srgbClr val="00B05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0.25143</cdr:x>
      <cdr:y>0.58565</cdr:y>
    </cdr:from>
    <cdr:to>
      <cdr:x>0.29553</cdr:x>
      <cdr:y>0.83135</cdr:y>
    </cdr:to>
    <cdr:sp macro="" textlink="">
      <cdr:nvSpPr>
        <cdr:cNvPr id="12" name="TextBox 11"/>
        <cdr:cNvSpPr txBox="1"/>
      </cdr:nvSpPr>
      <cdr:spPr>
        <a:xfrm xmlns:a="http://schemas.openxmlformats.org/drawingml/2006/main" rot="16200000" flipV="1">
          <a:off x="310817" y="2574819"/>
          <a:ext cx="914400" cy="123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0.16812</cdr:x>
      <cdr:y>0.70654</cdr:y>
    </cdr:from>
    <cdr:to>
      <cdr:x>0.76402</cdr:x>
      <cdr:y>0.70761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1001485" y="1967346"/>
          <a:ext cx="3549733" cy="296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B050"/>
          </a:solidFill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D78-8118-4E6A-9927-25DC6CCE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UTM</cp:lastModifiedBy>
  <cp:revision>2</cp:revision>
  <cp:lastPrinted>2020-07-22T08:36:00Z</cp:lastPrinted>
  <dcterms:created xsi:type="dcterms:W3CDTF">2020-07-22T10:16:00Z</dcterms:created>
  <dcterms:modified xsi:type="dcterms:W3CDTF">2020-07-22T10:16:00Z</dcterms:modified>
</cp:coreProperties>
</file>